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指标一(权重20%)：机构实力情况。营业执照、机构代码证；近三年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2018、2019、2020年度）</w:t>
      </w:r>
      <w:r>
        <w:rPr>
          <w:rFonts w:hint="eastAsia" w:asciiTheme="minorEastAsia" w:hAnsiTheme="minorEastAsia"/>
          <w:sz w:val="28"/>
          <w:szCs w:val="28"/>
        </w:rPr>
        <w:t>资产负债表、损益表；办公场地、设施设备等资产情况；员工队伍情况等。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指标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(权重10%)：社会责任与使命感。机构较好地履行社会责任，完成自身使命的证明材料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如纳税情况、公益慈善等。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sz w:val="28"/>
          <w:szCs w:val="28"/>
        </w:rPr>
        <w:t>(权重15%)：财经类职业素养培训的资质。包括且不限于ACCA、CFA、FRM等官方机构的授权；其他获得政府部门或权威机构授权的培训资质。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sz w:val="28"/>
          <w:szCs w:val="28"/>
        </w:rPr>
        <w:t>(权重30%)：机构信用与社会声誉。证明机构具有优良的信用度和社会声誉，包括获得权威机构授予的名誉或奖励、第三方排名与评价、考证通过率、培训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社会反响、网络舆情评论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2019年1月1日至2021年11月30日之间各类培训的年度招生数、招生价格表（详见附件二）等</w:t>
      </w:r>
      <w:r>
        <w:rPr>
          <w:rFonts w:hint="eastAsia" w:asciiTheme="minorEastAsia" w:hAnsiTheme="minorEastAsia"/>
          <w:sz w:val="28"/>
          <w:szCs w:val="28"/>
        </w:rPr>
        <w:t>证明材料。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指标五(权重25%)：支持高等教育事业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如对高校捐赠意向等。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注：以上所有提交材料需提供原件和复印件，一式一份。原件需核实验证，复印件需加盖公章。提交单位必须保证材料的真实有效性，如有违反，取消参与资格。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36A9"/>
    <w:rsid w:val="58C670D1"/>
    <w:rsid w:val="77A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2021-12-08T01:08:00Z</dcterms:created>
  <dc:creator>WPS_1463363978</dc:creator>
  <cp:lastModifiedBy>廖老师</cp:lastModifiedBy>
  <dcterms:modified xsi:type="dcterms:W3CDTF">2021-12-09T02:02:03Z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52CABA18DD7448A4ACE0BCB8661352CF</vt:lpwstr>
  </property>
</Properties>
</file>